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cs="Times New Roman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eastAsia="zh-CN"/>
        </w:rPr>
        <w:t>菏</w:t>
      </w:r>
      <w:r>
        <w:rPr>
          <w:rFonts w:hint="default" w:ascii="Times New Roman" w:hAnsi="Times New Roman" w:cs="Times New Roman"/>
          <w:szCs w:val="32"/>
        </w:rPr>
        <w:t>定</w:t>
      </w:r>
      <w:r>
        <w:rPr>
          <w:rFonts w:hint="eastAsia" w:ascii="Times New Roman" w:hAnsi="Times New Roman" w:cs="Times New Roman"/>
          <w:szCs w:val="32"/>
          <w:lang w:val="en-US" w:eastAsia="zh-CN"/>
        </w:rPr>
        <w:t>政</w:t>
      </w:r>
      <w:r>
        <w:rPr>
          <w:rFonts w:hint="eastAsia" w:cs="Times New Roman"/>
          <w:lang w:val="en-US" w:eastAsia="zh-CN"/>
        </w:rPr>
        <w:t>办字</w:t>
      </w:r>
      <w:r>
        <w:rPr>
          <w:rFonts w:hint="default" w:ascii="Times New Roman" w:hAnsi="Times New Roman" w:cs="Times New Roman"/>
          <w:szCs w:val="32"/>
        </w:rPr>
        <w:t>〔20</w:t>
      </w:r>
      <w:r>
        <w:rPr>
          <w:rFonts w:hint="eastAsia" w:cs="Times New Roman"/>
          <w:szCs w:val="32"/>
          <w:lang w:val="en-US" w:eastAsia="zh-CN"/>
        </w:rPr>
        <w:t>2</w:t>
      </w:r>
      <w:r>
        <w:rPr>
          <w:rFonts w:hint="default" w:cs="Times New Roman"/>
          <w:szCs w:val="32"/>
          <w:lang w:val="en" w:eastAsia="zh-CN"/>
        </w:rPr>
        <w:t>2</w:t>
      </w:r>
      <w:r>
        <w:rPr>
          <w:rFonts w:hint="default" w:ascii="Times New Roman" w:hAnsi="Times New Roman" w:cs="Times New Roman"/>
          <w:szCs w:val="32"/>
        </w:rPr>
        <w:t>〕</w:t>
      </w:r>
      <w:r>
        <w:rPr>
          <w:rFonts w:hint="eastAsia" w:cs="Times New Roman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cs="Times New Roman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菏泽市定陶区人民政府办公室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关于印发菏泽市定陶区种子（苗）繁育基地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发展规划（</w:t>
      </w:r>
      <w:r>
        <w:rPr>
          <w:rFonts w:hint="eastAsia" w:eastAsia="方正小标宋简体" w:cs="Times New Roman"/>
          <w:bCs/>
          <w:color w:val="000000"/>
          <w:sz w:val="44"/>
          <w:szCs w:val="44"/>
          <w:lang w:val="en-US" w:eastAsia="zh-CN"/>
        </w:rPr>
        <w:t>2</w:t>
      </w:r>
      <w:r>
        <w:rPr>
          <w:rFonts w:hint="default" w:eastAsia="方正小标宋简体" w:cs="Times New Roman"/>
          <w:bCs/>
          <w:color w:val="000000"/>
          <w:sz w:val="44"/>
          <w:szCs w:val="44"/>
          <w:lang w:val="en-US" w:eastAsia="zh-CN"/>
        </w:rPr>
        <w:t>02</w:t>
      </w:r>
      <w:r>
        <w:rPr>
          <w:rFonts w:hint="eastAsia" w:eastAsia="方正小标宋简体" w:cs="Times New Roman"/>
          <w:bCs/>
          <w:color w:val="000000"/>
          <w:sz w:val="44"/>
          <w:szCs w:val="44"/>
          <w:lang w:val="en-US" w:eastAsia="zh-CN"/>
        </w:rPr>
        <w:t>2年－</w:t>
      </w:r>
      <w:r>
        <w:rPr>
          <w:rFonts w:hint="default" w:eastAsia="方正小标宋简体" w:cs="Times New Roman"/>
          <w:bCs/>
          <w:color w:val="000000"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bCs/>
          <w:color w:val="000000"/>
          <w:sz w:val="44"/>
          <w:szCs w:val="44"/>
          <w:lang w:val="en-US" w:eastAsia="zh-CN"/>
        </w:rPr>
        <w:t>6年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6"/>
        <w:widowControl/>
        <w:spacing w:beforeAutospacing="0" w:afterAutospacing="0"/>
        <w:jc w:val="both"/>
        <w:rPr>
          <w:sz w:val="32"/>
        </w:rPr>
      </w:pPr>
      <w:r>
        <w:rPr>
          <w:sz w:val="32"/>
        </w:rPr>
        <w:t>各镇人民政府、街道办事处</w:t>
      </w:r>
      <w:r>
        <w:rPr>
          <w:rFonts w:hint="eastAsia"/>
          <w:sz w:val="32"/>
        </w:rPr>
        <w:t>，</w:t>
      </w:r>
      <w:r>
        <w:rPr>
          <w:sz w:val="32"/>
        </w:rPr>
        <w:t>区政府各部门：</w:t>
      </w:r>
    </w:p>
    <w:p>
      <w:pPr>
        <w:pStyle w:val="6"/>
        <w:widowControl/>
        <w:spacing w:beforeAutospacing="0" w:afterAutospacing="0"/>
        <w:ind w:firstLine="633"/>
        <w:jc w:val="both"/>
        <w:rPr>
          <w:sz w:val="32"/>
        </w:rPr>
      </w:pPr>
      <w:r>
        <w:rPr>
          <w:rFonts w:hint="eastAsia"/>
          <w:sz w:val="32"/>
        </w:rPr>
        <w:t>《</w:t>
      </w:r>
      <w:r>
        <w:rPr>
          <w:sz w:val="32"/>
        </w:rPr>
        <w:t>菏泽市定陶区</w:t>
      </w:r>
      <w:r>
        <w:rPr>
          <w:rFonts w:hint="eastAsia"/>
          <w:sz w:val="32"/>
        </w:rPr>
        <w:t>种子</w:t>
      </w:r>
      <w:r>
        <w:rPr>
          <w:rFonts w:hint="eastAsia"/>
          <w:sz w:val="32"/>
          <w:lang w:eastAsia="zh-CN"/>
        </w:rPr>
        <w:t>（</w:t>
      </w:r>
      <w:r>
        <w:rPr>
          <w:rFonts w:hint="eastAsia"/>
          <w:sz w:val="32"/>
        </w:rPr>
        <w:t>苗</w:t>
      </w:r>
      <w:r>
        <w:rPr>
          <w:rFonts w:hint="eastAsia"/>
          <w:sz w:val="32"/>
          <w:lang w:eastAsia="zh-CN"/>
        </w:rPr>
        <w:t>）</w:t>
      </w:r>
      <w:r>
        <w:rPr>
          <w:rFonts w:hint="eastAsia"/>
          <w:sz w:val="32"/>
        </w:rPr>
        <w:t>繁育基地发展规划（2022年</w:t>
      </w:r>
      <w:r>
        <w:rPr>
          <w:rFonts w:hint="eastAsia"/>
          <w:sz w:val="32"/>
          <w:lang w:eastAsia="zh-CN"/>
        </w:rPr>
        <w:t>－</w:t>
      </w:r>
      <w:r>
        <w:rPr>
          <w:rFonts w:hint="eastAsia"/>
          <w:sz w:val="32"/>
        </w:rPr>
        <w:t>2026年）》</w:t>
      </w:r>
      <w:r>
        <w:rPr>
          <w:sz w:val="32"/>
        </w:rPr>
        <w:t>已经区政府同意</w:t>
      </w:r>
      <w:r>
        <w:rPr>
          <w:rFonts w:hint="eastAsia"/>
          <w:sz w:val="32"/>
        </w:rPr>
        <w:t>，</w:t>
      </w:r>
      <w:r>
        <w:rPr>
          <w:sz w:val="32"/>
        </w:rPr>
        <w:t>现印发给你们</w:t>
      </w:r>
      <w:r>
        <w:rPr>
          <w:rFonts w:hint="eastAsia"/>
          <w:sz w:val="32"/>
        </w:rPr>
        <w:t>，</w:t>
      </w:r>
      <w:r>
        <w:rPr>
          <w:sz w:val="32"/>
        </w:rPr>
        <w:t>请结合实际</w:t>
      </w:r>
      <w:r>
        <w:rPr>
          <w:rFonts w:hint="eastAsia"/>
          <w:sz w:val="32"/>
        </w:rPr>
        <w:t>，</w:t>
      </w:r>
      <w:r>
        <w:rPr>
          <w:sz w:val="32"/>
        </w:rPr>
        <w:t>做好</w:t>
      </w:r>
      <w:r>
        <w:rPr>
          <w:rFonts w:hint="eastAsia"/>
          <w:sz w:val="32"/>
        </w:rPr>
        <w:t>组织实施。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6"/>
        <w:widowControl/>
        <w:wordWrap w:val="0"/>
        <w:spacing w:beforeAutospacing="0" w:afterAutospacing="0"/>
        <w:ind w:firstLine="633"/>
        <w:jc w:val="right"/>
        <w:rPr>
          <w:rFonts w:hint="eastAsia" w:ascii="Times New Roman" w:hAnsi="Times New Roman" w:eastAsia="仿宋_GB2312"/>
          <w:sz w:val="32"/>
          <w:lang w:eastAsia="zh-CN"/>
        </w:rPr>
      </w:pPr>
      <w:r>
        <w:rPr>
          <w:rFonts w:ascii="Times New Roman" w:hAnsi="Times New Roman"/>
          <w:sz w:val="32"/>
        </w:rPr>
        <w:t>菏泽市定陶区人民政府</w:t>
      </w:r>
      <w:r>
        <w:rPr>
          <w:rFonts w:hint="eastAsia" w:ascii="Times New Roman" w:hAnsi="Times New Roman"/>
          <w:sz w:val="32"/>
        </w:rPr>
        <w:t>办公室</w:t>
      </w:r>
      <w:r>
        <w:rPr>
          <w:rFonts w:hint="eastAsia" w:ascii="Times New Roman" w:hAnsi="Times New Roman"/>
          <w:sz w:val="32"/>
          <w:lang w:eastAsia="zh-CN"/>
        </w:rPr>
        <w:t>　</w:t>
      </w:r>
    </w:p>
    <w:p>
      <w:pPr>
        <w:pStyle w:val="6"/>
        <w:widowControl/>
        <w:wordWrap w:val="0"/>
        <w:spacing w:beforeAutospacing="0" w:afterAutospacing="0"/>
        <w:jc w:val="right"/>
        <w:rPr>
          <w:rFonts w:hint="eastAsia" w:ascii="Times New Roman" w:hAnsi="Times New Roman" w:eastAsia="仿宋_GB2312"/>
          <w:sz w:val="32"/>
          <w:lang w:eastAsia="zh-CN"/>
        </w:rPr>
      </w:pPr>
      <w:r>
        <w:rPr>
          <w:rFonts w:ascii="Times New Roman" w:hAnsi="Times New Roman"/>
          <w:sz w:val="32"/>
        </w:rPr>
        <w:t>20</w:t>
      </w:r>
      <w:r>
        <w:rPr>
          <w:rFonts w:hint="eastAsia" w:ascii="Times New Roman" w:hAnsi="Times New Roman"/>
          <w:sz w:val="32"/>
          <w:lang w:val="en-US" w:eastAsia="zh-CN"/>
        </w:rPr>
        <w:t>22</w:t>
      </w:r>
      <w:r>
        <w:rPr>
          <w:rFonts w:ascii="Times New Roman" w:hAnsi="Times New Roman"/>
          <w:sz w:val="32"/>
        </w:rPr>
        <w:t>年</w:t>
      </w:r>
      <w:r>
        <w:rPr>
          <w:rFonts w:hint="eastAsia" w:ascii="Times New Roman" w:hAnsi="Times New Roman"/>
          <w:sz w:val="32"/>
          <w:lang w:val="en-US" w:eastAsia="zh-CN"/>
        </w:rPr>
        <w:t>4</w:t>
      </w:r>
      <w:r>
        <w:rPr>
          <w:rFonts w:ascii="Times New Roman" w:hAnsi="Times New Roman"/>
          <w:sz w:val="32"/>
        </w:rPr>
        <w:t>月</w:t>
      </w:r>
      <w:r>
        <w:rPr>
          <w:rFonts w:hint="eastAsia"/>
          <w:sz w:val="32"/>
          <w:lang w:val="en-US" w:eastAsia="zh-CN"/>
        </w:rPr>
        <w:t>11</w:t>
      </w:r>
      <w:r>
        <w:rPr>
          <w:rFonts w:ascii="Times New Roman" w:hAnsi="Times New Roman"/>
          <w:sz w:val="32"/>
        </w:rPr>
        <w:t>日</w:t>
      </w:r>
      <w:r>
        <w:rPr>
          <w:rFonts w:hint="eastAsia" w:ascii="Times New Roman" w:hAnsi="Times New Roman"/>
          <w:sz w:val="32"/>
          <w:lang w:eastAsia="zh-CN"/>
        </w:rPr>
        <w:t>　　　　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cs="Times New Roman"/>
          <w:sz w:val="32"/>
          <w:szCs w:val="32"/>
          <w:lang w:val="en-US" w:eastAsia="zh-CN"/>
        </w:rPr>
        <w:t>（此件公开发布）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菏泽市定陶区种子（苗）繁育基地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发展规划（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02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2年</w:t>
      </w:r>
      <w:r>
        <w:rPr>
          <w:rFonts w:hint="eastAsia" w:eastAsia="方正小标宋简体" w:cs="Times New Roman"/>
          <w:bCs/>
          <w:color w:val="000000"/>
          <w:sz w:val="44"/>
          <w:szCs w:val="44"/>
          <w:lang w:val="en-US" w:eastAsia="zh-CN"/>
        </w:rPr>
        <w:t>－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6年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）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保障国家粮食安全和重要农产品有效供给，深入贯彻实施乡村振兴战略，增强农业可持续发展能力，根据省委种业高质量发展专题会议精神和《山东省种业振兴行动实施方案》要求，大力发展我区小麦种子、瓜菜育苗生产，继续推进小麦良种繁育、集约化瓜菜育苗基地建设，提高规模化、机械化、标准化、专业化、集约化、信息化水平，改善种子（苗）基地基础设施和装备条件，提升种业综合竞争力和农作物供种保障能力，制定本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楷体_GB2312" w:cs="Times New Roman"/>
          <w:kern w:val="0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kern w:val="0"/>
          <w:szCs w:val="32"/>
        </w:rPr>
        <w:t>（一）指导思想</w:t>
      </w:r>
      <w:r>
        <w:rPr>
          <w:rFonts w:hint="eastAsia" w:eastAsia="楷体_GB2312" w:cs="Times New Roman"/>
          <w:kern w:val="0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贯彻落实习近平新时代中国特色社会主义思想和党的十九大精神，紧紧围绕乡村振兴战略，推进农业供给侧结构性改革，以优化供给、提质增效、农民增收为目标，根据省委种业高质量发展专题会议精神和《山东省种业振兴行动实施方案》要求，着力培育新动能、打造新业态、扶持新主体、拓宽新渠道，加快推进全区种子（苗）产业发展，不断完善小麦繁育基地基础设施建设，全面提升小麦新品种的繁育和推广能力，提高精深加工能力，推进小麦产业化生产水平，保障粮食生产安全。加快瓜菜种苗繁育产业发展步伐，着力建设集约化蔬菜育苗基地，提高瓜菜种苗的供应能力，促进蔬菜产业的发展，改善蔬菜品质，提升市场竞争力和市场占有率，增加农业效益、提高农民收入，为产业振兴打下坚实基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楷体_GB2312" w:cs="Times New Roman"/>
          <w:kern w:val="0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kern w:val="0"/>
          <w:szCs w:val="32"/>
        </w:rPr>
        <w:t>（二）基本原则</w:t>
      </w:r>
      <w:r>
        <w:rPr>
          <w:rFonts w:hint="eastAsia" w:eastAsia="楷体_GB2312" w:cs="Times New Roman"/>
          <w:kern w:val="0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１．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坚持企业主体地位。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整合农作物种业资源，建立健全现代企业制度，通过政策引导、带动企业和社会资金投入，充分发挥企业在商业化育种、成果转化应用等方面的主导作用。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２．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坚持产学研结合。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鼓励支持种子企业引进科研院所和高等院校的种质资源、科研人才等要素，逐步形成以企业为主体、市场为导向、资本为纽带的利益共享、风险共担的农作物种业科技创新模式。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３．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坚持扶优扶强。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加强政策引导，加大基础性、公益性研究投入。充分利用现有资源，突出重点、统一规划、集中投入、连片开发，对具有育种能力、市场占有率较高、经营规模较大的种子企业予以重点支持，增强其创新能力。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楷体_GB2312" w:cs="Times New Roman"/>
          <w:kern w:val="0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kern w:val="0"/>
          <w:szCs w:val="32"/>
        </w:rPr>
        <w:t>（三）发展目标</w:t>
      </w:r>
      <w:r>
        <w:rPr>
          <w:rFonts w:hint="eastAsia" w:eastAsia="楷体_GB2312" w:cs="Times New Roman"/>
          <w:kern w:val="0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小麦良种繁育基地建设方面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到2023年，全区小麦良种繁育基地面积稳定在6.5万亩以上，制种产量达到2500万公斤，建成万亩成方连片高标准小麦育种示范田；小麦种业标准体系健全，基地农田基础设施进一步完善，小麦种子生产水平得到明显提升，种业企业生产加工能力进一步提高；建成一支监管有力的种子管理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到2024年，全区小麦繁育基地面积稳定在8万亩以上，制种产量达到3200万公斤，以冉堌镇、马集镇、张湾镇为重点，建成大规模的小麦繁育基地；培育1-2个“育繁推一体化”种子企业，引进、创新一批优质、高产、多抗种质资源，培育一批具有重大应用前景和自主知识产权的突破性品种，集成研发一套绿色良繁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到2026年，全区小麦繁育面积达到10万亩，制种产量达到4000万公斤；建成一批标准化、规模化、集约化、数字化的优势种子生产基地；健全职责明确、手段先进、监管有力的种子管理体系，种子检验机构年样品检测能力达到1万份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瓜菜育苗基地建设方面：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一步扩大集约化育苗规模，通过政府投资及资本融合，在2021年蔬菜种苗生产4.2亿株的基础上，从2022年起，每年蔬菜种苗集约化繁育增加3000万株，到2026年全区蔬菜集约化种苗繁育达到5.7亿株，基本满足我区及周边地区蔬菜生产需要。推动我区蔬菜种苗繁育向科学化定位、区域化布局、标准化生产的目标发展。同时健全完善产销运行机制，培养出一批专业化育苗队伍，带动全区蔬菜育苗技术全面提升。提高设施蔬菜育苗质量标准，为瓜菜温室产业发展强基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二、发展布局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0"/>
          <w:szCs w:val="32"/>
          <w:lang w:val="en-US" w:eastAsia="zh-CN"/>
        </w:rPr>
        <w:t>（一）</w:t>
      </w:r>
      <w:r>
        <w:rPr>
          <w:rFonts w:hint="eastAsia" w:ascii="Times New Roman" w:hAnsi="Times New Roman" w:eastAsia="楷体_GB2312" w:cs="Times New Roman"/>
          <w:kern w:val="0"/>
          <w:szCs w:val="32"/>
        </w:rPr>
        <w:t>科学规划建设小麦良种繁育基地</w:t>
      </w:r>
      <w:r>
        <w:rPr>
          <w:rFonts w:hint="eastAsia" w:ascii="Times New Roman" w:hAnsi="Times New Roman" w:eastAsia="楷体_GB2312" w:cs="Times New Roman"/>
          <w:kern w:val="0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着力建设好10万亩繁育基地、2万亩核心区和一外加工中心。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小麦良种繁育基地核心区。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统筹整合各级次、各渠道、各领域涉农资金，由政府统一协调，统筹安排，集中资金打造高标准良种繁育基地。建设地点设在冉堌镇，依托数字农业项目，建设2万亩高标准小麦良种繁育基地核心区，带动、辐射周边镇街打造良繁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小麦良种繁育基地。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在巩固现有基地的基础上，围绕小麦良种繁育基地核心区，建设方便种子收储、优势明显的小麦繁育基地。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小麦良种加工中心。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强化对企业科技、资金、政策支持，为制种企业发展提供有力保障，支持企业打造小麦良种加工示范基地。到2026年，建设小麦良种加工示范基地1处。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楷体_GB2312" w:cs="Times New Roman"/>
          <w:kern w:val="0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0"/>
          <w:szCs w:val="32"/>
          <w:lang w:val="en-US" w:eastAsia="zh-CN"/>
        </w:rPr>
        <w:t>（二）继续扩大瓜菜种苗繁育基地建设。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南王店镇重点发展西瓜种苗繁育，在黄店镇、杜堂镇发展蔬菜种苗繁育，建设一批具有一定规模、档次较高的蔬菜种苗繁育基地，指导、引导具有一定基础的中泰农业发展公司、中远蔬菜合作社、立铭蔬菜合作社、合信农作物种植合作社、利民果蔬种植合作社、尚谷庄园等蔬菜种苗繁育基地等基地，扩大规模，提升档次，发挥好示范带头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三、完善种子繁育体系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强科研与生产的联系，加强育种者知识产权保护力度；引导种子企业向生产优势区域集中，确保繁育基地交通便利、成方连片、地力肥沃、土地平整。支持种子企业通过土地流转、与农民专业合作社联合等方式建立相对集中稳定的繁育基地，不断扩大种子（苗）繁育规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小麦良种繁育方面：2022年，新增小麦耕、种、管、收等智能化机械10台套，年制种能力稳定在2500万公斤以上。加强仓储、加工、精选等基础设施配套建设，健全完善操作规范和管理制度，2026年，新增单机精选机、集成种子加工设备等5台套，建立完善的小麦良种繁育体系</w:t>
      </w:r>
      <w:r>
        <w:rPr>
          <w:rFonts w:hint="eastAsia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瓜菜育苗方面：按照“简化建造工艺、便于机械化作业、提高土地利用率，可以应急补温和适度美化亮化”的思路改善育苗温室结构，大力推广集约化育苗机械化装备及育苗室环境调控技术装备，加快推进节能育苗温室现代化；充分利用本地秸杆资源，使基质本土化，降低育苗成本；积极推广育苗综合配套技术，在育苗室中应用加温炉、微喷灌、遮阳网、防虫网、黄板等物化技术；积极构建蔬菜不同类型优势区域的种苗生产和供应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四、强化种业服务监管体系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0"/>
          <w:szCs w:val="32"/>
          <w:lang w:val="en-US" w:eastAsia="zh-CN"/>
        </w:rPr>
        <w:t>（一）加强市场监管能力建设。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深化管理体制改革，明确种子管理机构，进一步强化行业管理、质量监督、市场监管等职能。严格种子生产经营许可管理，加大种子违法案件查处力度，严厉打击无证生产经营、抢购套购、套牌侵权、生产经营假劣种子等违法行为。加强出入境种子的检验检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0"/>
          <w:szCs w:val="32"/>
          <w:lang w:val="en-US" w:eastAsia="zh-CN"/>
        </w:rPr>
        <w:t>（二）建立健全质量控制体系。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实现以种子企业自检为主，辅助行政监督抽查相结合的种子质量监控制度，推进物联网技术应用，建立覆盖生产、加工、流通的质量可追溯系统，从源头上保障生产用种安全。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 xml:space="preserve">五、保障措施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0"/>
          <w:szCs w:val="32"/>
          <w:lang w:val="en-US" w:eastAsia="zh-CN"/>
        </w:rPr>
        <w:t>（一）强化组织领导。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成立定陶区小麦良种繁育基地建设工作领导小组，区长任组长，相关单位、镇街主要负责人为成员。明确职责分工，健全协调联动机制，加强密切合作，统筹研究解决推进现代种业发展中遇到的重大问题。各镇街依据本规划，制定本辖区基地发展规划，认真抓好组织实施，相关单位做好技术指导和服务，确保规划落到实处、取得实效。分别成立小麦和瓜菜育种（苗）基地建设工作专班，主要承担总体方案和年度实施方案的制定，制定和落实各项技术措施，保证种子（苗）繁育基地建设有序进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0"/>
          <w:szCs w:val="32"/>
          <w:lang w:val="en-US" w:eastAsia="zh-CN"/>
        </w:rPr>
        <w:t>（二）加大财政支持力度。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区财政每年列支500万元专项资金，用于小麦良种补贴，并列入同级财政预算。同时，要积极统筹整合涉农资金，加大对育种繁育扶持力度，支持育种创新、种子（苗）生产加工等条件能力建设。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0"/>
          <w:szCs w:val="32"/>
          <w:lang w:val="en-US" w:eastAsia="zh-CN"/>
        </w:rPr>
        <w:t>（三）落实优惠政策。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积极落实企业税收有关优惠政策，科技机构和高等院校从事技术转让、技术开发业务及与之相关的技术咨询、技术服务业务取得的收入，免征营业税。自然资源部门在编制土地利用总体规划时，要对繁育基地及种子（苗）企业用地进行统筹安排，优先保障符合繁育基地建设的用地需求。对投资建设种子（苗）生产基地所需的管理、加工、仓储用房及配套服务等附属设施用地，要按照农用地管理规定优先予以保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0"/>
          <w:szCs w:val="32"/>
          <w:lang w:val="en-US" w:eastAsia="zh-CN"/>
        </w:rPr>
        <w:t>（四）建立金融保险机制。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金融部门要鼓励引导银行、保险等单位，支持种子（苗）企业搞好基础设施建设、技术更新改造及风险防范等工作，切实解决企业贷款难、融资难、投保难等问题。把种子（苗）产品保险列入政策性农业保险范围，逐步建立政府支持、企业参与、商业化运作的种业风险分散机制。完善种子（苗）生产收储政策，鼓励引导相关金融机构特别是政策性银行，进一步加大对种子（苗）收储信贷的支持力度。扩大种子（苗）企业有效担保物范围，方便企业获得抵押贷款。积极支持种子（苗）企业通过联合、入股等方式集聚资本，引导种子（苗）企业上市融资，培育壮大种子（苗）龙头企业，引领区域种子（苗）产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276" w:firstLineChars="100"/>
        <w:rPr>
          <w:sz w:val="28"/>
          <w:szCs w:val="28"/>
          <w:highlight w:val="none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4pt;z-index:251659264;mso-width-relative:page;mso-height-relative:page;" filled="f" stroked="t" coordsize="21600,21600" o:gfxdata="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Db2+zSAAAAAgEAAA8AAAAAAAAAAQAgAAAAIgAAAGRycy9kb3ducmV2LnhtbFBLAQIU&#10;ABQAAAAIAIdO4kAMPswS+QEAAPMDAAAOAAAAAAAAAAEAIAAAACEBAABkcnMvZTJvRG9jLnhtbFBL&#10;BQYAAAAABgAGAFkBAACM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t>抄送：</w:t>
      </w:r>
      <w:r>
        <w:rPr>
          <w:sz w:val="28"/>
          <w:szCs w:val="28"/>
          <w:highlight w:val="none"/>
        </w:rPr>
        <w:t>区委各部门，区人大常委会</w:t>
      </w:r>
      <w:r>
        <w:rPr>
          <w:rFonts w:hint="eastAsia"/>
          <w:sz w:val="28"/>
          <w:szCs w:val="28"/>
          <w:highlight w:val="none"/>
          <w:lang w:val="en-US" w:eastAsia="zh-CN"/>
        </w:rPr>
        <w:t>办公室</w:t>
      </w:r>
      <w:r>
        <w:rPr>
          <w:sz w:val="28"/>
          <w:szCs w:val="28"/>
          <w:highlight w:val="none"/>
        </w:rPr>
        <w:t>，区政协</w:t>
      </w:r>
      <w:r>
        <w:rPr>
          <w:rFonts w:hint="eastAsia"/>
          <w:sz w:val="28"/>
          <w:szCs w:val="28"/>
          <w:highlight w:val="none"/>
          <w:lang w:val="en-US" w:eastAsia="zh-CN"/>
        </w:rPr>
        <w:t>办公室</w:t>
      </w:r>
      <w:r>
        <w:rPr>
          <w:sz w:val="28"/>
          <w:szCs w:val="28"/>
          <w:highlight w:val="none"/>
        </w:rPr>
        <w:t>，区法院，</w:t>
      </w:r>
    </w:p>
    <w:p>
      <w:pPr>
        <w:ind w:left="0" w:leftChars="0" w:firstLine="1099" w:firstLineChars="39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区检察院，区人武部。</w:t>
      </w:r>
    </w:p>
    <w:p>
      <w:pPr>
        <w:ind w:firstLine="276" w:firstLineChars="100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561848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75pt;height:0pt;width:442.4pt;z-index:251661312;mso-width-relative:page;mso-height-relative:page;" filled="f" stroked="t" coordsize="21600,21600" o:gfxdata="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Nte301QAAAAYBAAAPAAAAAAAAAAEAIAAAACIAAABkcnMvZG93bnJldi54bWxQ&#10;SwECFAAUAAAACACHTuJAQRMHVPoBAADzAwAADgAAAAAAAAABACAAAAAk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4pt;z-index:251660288;mso-width-relative:page;mso-height-relative:page;" filled="f" stroked="t" coordsize="21600,21600" o:gfxdata="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1Kl7sdEAAAACAQAADwAAAAAAAAABACAAAAAiAAAAZHJzL2Rvd25yZXYueG1sUEsBAhQA&#10;FAAAAAgAh07iQDNqaj/5AQAA8gMAAA4AAAAAAAAAAQAgAAAAI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t>菏泽市定陶区人民政府办公室　　　　　　　　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eastAsia="zh-CN"/>
        </w:rPr>
        <w:t>　</w:t>
      </w:r>
      <w:r>
        <w:rPr>
          <w:sz w:val="28"/>
          <w:szCs w:val="28"/>
        </w:rPr>
        <w:t>日印</w:t>
      </w:r>
      <w:r>
        <w:rPr>
          <w:rFonts w:hint="eastAsia"/>
          <w:sz w:val="28"/>
          <w:szCs w:val="28"/>
          <w:lang w:eastAsia="zh-CN"/>
        </w:rPr>
        <w:t>发</w:t>
      </w:r>
    </w:p>
    <w:sectPr>
      <w:footerReference r:id="rId3" w:type="default"/>
      <w:pgSz w:w="11906" w:h="16838"/>
      <w:pgMar w:top="1701" w:right="1531" w:bottom="1587" w:left="1531" w:header="851" w:footer="992" w:gutter="0"/>
      <w:pgNumType w:fmt="decimal"/>
      <w:cols w:space="0" w:num="1"/>
      <w:rtlGutter w:val="0"/>
      <w:docGrid w:type="linesAndChars" w:linePitch="61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320" w:leftChars="100" w:right="320" w:rightChars="100" w:firstLine="0" w:firstLineChars="0"/>
      <w:jc w:val="left"/>
      <w:textAlignment w:val="auto"/>
      <w:outlineLvl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left"/>
                            <w:textAlignment w:val="auto"/>
                            <w:outlineLvl w:val="9"/>
                          </w:pP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left"/>
                      <w:textAlignment w:val="auto"/>
                      <w:outlineLvl w:val="9"/>
                    </w:pP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58"/>
  <w:drawingGridVerticalSpacing w:val="30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05"/>
    <w:rsid w:val="001B0E34"/>
    <w:rsid w:val="002035AF"/>
    <w:rsid w:val="00366BDF"/>
    <w:rsid w:val="005318C3"/>
    <w:rsid w:val="005D76F5"/>
    <w:rsid w:val="00642250"/>
    <w:rsid w:val="006B451B"/>
    <w:rsid w:val="00781F05"/>
    <w:rsid w:val="00AD689A"/>
    <w:rsid w:val="00C24336"/>
    <w:rsid w:val="00D3613B"/>
    <w:rsid w:val="07D22590"/>
    <w:rsid w:val="0A97226B"/>
    <w:rsid w:val="24160594"/>
    <w:rsid w:val="337D1B80"/>
    <w:rsid w:val="3D73FA64"/>
    <w:rsid w:val="52EA2F8B"/>
    <w:rsid w:val="577C1DAB"/>
    <w:rsid w:val="5D35121F"/>
    <w:rsid w:val="75AF3D84"/>
    <w:rsid w:val="7F3FE7F4"/>
    <w:rsid w:val="AF5BC23D"/>
    <w:rsid w:val="BFFFB9D9"/>
    <w:rsid w:val="E9BF99E2"/>
    <w:rsid w:val="ED37C5E9"/>
    <w:rsid w:val="ED7FC216"/>
    <w:rsid w:val="EFFEFC9E"/>
    <w:rsid w:val="FD9F029F"/>
    <w:rsid w:val="FEFF7F87"/>
    <w:rsid w:val="FFB7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0"/>
      <w:ind w:left="0" w:leftChars="0" w:firstLine="420" w:firstLineChars="20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link w:val="10"/>
    <w:qFormat/>
    <w:uiPriority w:val="0"/>
    <w:pPr>
      <w:spacing w:after="120"/>
    </w:pPr>
    <w:rPr>
      <w:rFonts w:ascii="宋体" w:hAnsi="宋体"/>
      <w:color w:val="FF6600"/>
      <w:kern w:val="0"/>
      <w:sz w:val="24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autoRedefine/>
    <w:unhideWhenUsed/>
    <w:qFormat/>
    <w:uiPriority w:val="99"/>
  </w:style>
  <w:style w:type="character" w:customStyle="1" w:styleId="10">
    <w:name w:val="正文文本 字符"/>
    <w:basedOn w:val="8"/>
    <w:link w:val="3"/>
    <w:qFormat/>
    <w:uiPriority w:val="0"/>
    <w:rPr>
      <w:rFonts w:ascii="宋体" w:hAnsi="宋体"/>
      <w:color w:val="FF6600"/>
      <w:kern w:val="0"/>
      <w:sz w:val="24"/>
    </w:r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429</Words>
  <Characters>2448</Characters>
  <Lines>20</Lines>
  <Paragraphs>5</Paragraphs>
  <TotalTime>7</TotalTime>
  <ScaleCrop>false</ScaleCrop>
  <LinksUpToDate>false</LinksUpToDate>
  <CharactersWithSpaces>2872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2022-04-10T20:03:00Z</dcterms:created>
  <dc:creator>dell</dc:creator>
  <cp:lastModifiedBy>遇见花开</cp:lastModifiedBy>
  <dcterms:modified xsi:type="dcterms:W3CDTF">2024-03-06T06:43:53Z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D446F8C60BAD43AEB72CA17BDFDE49D9_13</vt:lpwstr>
  </property>
</Properties>
</file>